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Kritéria a způsob hodnocení písemné maturitní zkoušky z českého jazyka a literatury</w:t>
      </w:r>
    </w:p>
    <w:p>
      <w:pPr>
        <w:pStyle w:val="Normal"/>
        <w:jc w:val="center"/>
        <w:rPr/>
      </w:pPr>
      <w:r>
        <w:rPr>
          <w:b/>
          <w:bCs/>
          <w:sz w:val="36"/>
          <w:szCs w:val="36"/>
        </w:rPr>
        <w:t>š</w:t>
      </w:r>
      <w:bookmarkStart w:id="0" w:name="_GoBack"/>
      <w:bookmarkEnd w:id="0"/>
      <w:r>
        <w:rPr>
          <w:b/>
          <w:bCs/>
          <w:sz w:val="36"/>
          <w:szCs w:val="36"/>
        </w:rPr>
        <w:t>kolní rok 2022/23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Písemnou prací se rozumí vytvoření souvislého textu, který tematicky, jazykově a stylisticky zpracovává zadané téma a naplňuje pravidla zadané funkční oblasti, slohového útvaru a komunikační situace.</w:t>
      </w:r>
    </w:p>
    <w:p>
      <w:pPr>
        <w:pStyle w:val="Default"/>
        <w:rPr/>
      </w:pPr>
      <w:r>
        <w:rPr/>
        <w:t xml:space="preserve"> </w:t>
      </w:r>
      <w:r>
        <w:rPr>
          <w:b/>
          <w:bCs/>
        </w:rPr>
        <w:t xml:space="preserve">Zadání písemné práce: </w:t>
      </w:r>
      <w:r>
        <w:rPr/>
        <w:t xml:space="preserve">zadání písemné práce obsahuje název zadání, způsob zpracování zadání a popřípadě výchozí text k zadání. Součástí výchozího textu k zadání může být i obrázek, graf. </w:t>
      </w:r>
    </w:p>
    <w:p>
      <w:pPr>
        <w:pStyle w:val="Default"/>
        <w:rPr/>
      </w:pPr>
      <w:r>
        <w:rPr/>
        <w:t xml:space="preserve">Žák může do své písemné práce funkčně začlenit výchozí text. Pouhé </w:t>
      </w:r>
      <w:r>
        <w:rPr>
          <w:b/>
          <w:bCs/>
        </w:rPr>
        <w:t xml:space="preserve">opsání výchozího textu se </w:t>
      </w:r>
      <w:r>
        <w:rPr/>
        <w:t xml:space="preserve">však </w:t>
      </w:r>
      <w:r>
        <w:rPr>
          <w:b/>
          <w:bCs/>
        </w:rPr>
        <w:t>nezapočítává do celkového rozsahu písemné práce</w:t>
      </w:r>
      <w:r>
        <w:rPr/>
        <w:t>, nejedná se totiž o autorský text žáka, který bychom mohli hodnotit. Totéž platí, pokud žák doslovně převezme téma zadání jako nadpis (nepočítá se do rozsahu). Předmětem hodnocení je pouze vlastní autorský text žáka.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>
          <w:b/>
          <w:bCs/>
        </w:rPr>
        <w:t>Rozsah PP</w:t>
      </w:r>
      <w:r>
        <w:rPr/>
        <w:t>: minimální rozsah je 250 slov, maximální rozsah omezen není.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>
          <w:b/>
          <w:bCs/>
        </w:rPr>
        <w:t xml:space="preserve">Čas (délka konání) písemné práce: </w:t>
      </w:r>
      <w:r>
        <w:rPr/>
        <w:t>150 minut (před vlastní prací 15 minut na výběr zadání)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/>
      </w:pPr>
      <w:r>
        <w:rPr>
          <w:b/>
          <w:bCs/>
        </w:rPr>
        <w:t>Způsob záznamu</w:t>
      </w:r>
      <w:r>
        <w:rPr/>
        <w:t xml:space="preserve">: dle přihlášení žáka - na PC, nebo žák dostane záznamový arch, do kterého bude práci psát 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  <w:t>Způsob a kritéria hodnocení</w:t>
      </w:r>
      <w:r>
        <w:rPr/>
        <w:t xml:space="preserve">: práce se hodnotí z hlediska stylistiky, gramatiky, lexika a syntaxe. Hodnocení je rozděleno na šest kritérií. V každém může žák získat 0 – 5 bodů, </w:t>
      </w:r>
      <w:r>
        <w:rPr>
          <w:b/>
          <w:bCs/>
        </w:rPr>
        <w:t xml:space="preserve">celkově </w:t>
      </w:r>
      <w:r>
        <w:rPr/>
        <w:t xml:space="preserve">tedy </w:t>
      </w:r>
      <w:r>
        <w:rPr>
          <w:b/>
          <w:bCs/>
        </w:rPr>
        <w:t>může získat 30 bodů za celou práci.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  <w:t xml:space="preserve">6 kritérií hodnocení: </w:t>
      </w:r>
    </w:p>
    <w:p>
      <w:pPr>
        <w:pStyle w:val="Default"/>
        <w:rPr>
          <w:b/>
          <w:b/>
          <w:bCs/>
        </w:rPr>
      </w:pPr>
      <w:r>
        <w:rPr/>
        <w:t xml:space="preserve">1A – stylistika: naplnění tématu a úroveň jeho zpracování, funkčnost zpracování; </w:t>
      </w:r>
      <w:r>
        <w:rPr>
          <w:u w:val="single"/>
        </w:rPr>
        <w:t>p</w:t>
      </w:r>
      <w:r>
        <w:rPr>
          <w:b/>
          <w:bCs/>
          <w:u w:val="single"/>
        </w:rPr>
        <w:t>ři nesplnění kritéria je text hodnocen jako nedostatečný.</w:t>
      </w:r>
      <w:r>
        <w:rPr>
          <w:b/>
          <w:bCs/>
        </w:rPr>
        <w:t xml:space="preserve"> </w:t>
      </w:r>
    </w:p>
    <w:p>
      <w:pPr>
        <w:pStyle w:val="Default"/>
        <w:rPr>
          <w:b/>
          <w:b/>
          <w:bCs/>
        </w:rPr>
      </w:pPr>
      <w:r>
        <w:rPr/>
        <w:t xml:space="preserve">1B – stylistika: splnění zadaného útvaru a komunikační situace; </w:t>
      </w:r>
      <w:r>
        <w:rPr>
          <w:u w:val="single"/>
        </w:rPr>
        <w:t>p</w:t>
      </w:r>
      <w:r>
        <w:rPr>
          <w:b/>
          <w:bCs/>
          <w:u w:val="single"/>
        </w:rPr>
        <w:t xml:space="preserve">ři nesplnění tohoto kritéria je text hodnocen jako nedostatečný. </w:t>
      </w:r>
    </w:p>
    <w:p>
      <w:pPr>
        <w:pStyle w:val="Default"/>
        <w:rPr/>
      </w:pPr>
      <w:r>
        <w:rPr/>
        <w:t xml:space="preserve">2A – pravopis a tvarosloví; </w:t>
      </w:r>
      <w:r>
        <w:rPr>
          <w:b/>
          <w:bCs/>
          <w:u w:val="single"/>
        </w:rPr>
        <w:t>při počtu hrubých chyb 10 a více je text hodnocen jako nedostatečný.</w:t>
      </w:r>
      <w:r>
        <w:rPr>
          <w:u w:val="single"/>
        </w:rPr>
        <w:t xml:space="preserve"> </w:t>
      </w:r>
    </w:p>
    <w:p>
      <w:pPr>
        <w:pStyle w:val="Default"/>
        <w:rPr/>
      </w:pPr>
      <w:r>
        <w:rPr/>
        <w:t xml:space="preserve">2B – slovní zásoba (oblast lexika): pestrost lexika, funkční užití lexikálních prostředků; </w:t>
      </w:r>
    </w:p>
    <w:p>
      <w:pPr>
        <w:pStyle w:val="Default"/>
        <w:rPr/>
      </w:pPr>
      <w:r>
        <w:rPr/>
        <w:t xml:space="preserve">3A – syntax: stavba větných celků; </w:t>
      </w:r>
    </w:p>
    <w:p>
      <w:pPr>
        <w:pStyle w:val="Default"/>
        <w:rPr/>
      </w:pPr>
      <w:r>
        <w:rPr/>
        <w:t>3B – syntax nadvětná: kompozice a výběr tematických složek; soudržnost textu, jeho členění, argumentace.</w:t>
      </w:r>
    </w:p>
    <w:p>
      <w:pPr>
        <w:pStyle w:val="Default"/>
        <w:rPr/>
      </w:pPr>
      <w:r>
        <w:rPr>
          <w:b/>
          <w:bCs/>
        </w:rPr>
        <w:t xml:space="preserve">Celkové hodnocení PP: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26 – 30 bodů - výborný </w:t>
      </w:r>
    </w:p>
    <w:p>
      <w:pPr>
        <w:pStyle w:val="Default"/>
        <w:rPr/>
      </w:pPr>
      <w:r>
        <w:rPr>
          <w:sz w:val="23"/>
          <w:szCs w:val="23"/>
        </w:rPr>
        <w:t xml:space="preserve">20 – 25 bodů - chvalitebný </w:t>
      </w:r>
    </w:p>
    <w:p>
      <w:pPr>
        <w:pStyle w:val="Default"/>
        <w:rPr/>
      </w:pPr>
      <w:r>
        <w:rPr>
          <w:sz w:val="23"/>
          <w:szCs w:val="23"/>
        </w:rPr>
        <w:t xml:space="preserve">16 – 19 bodů - dobrý </w:t>
      </w:r>
    </w:p>
    <w:p>
      <w:pPr>
        <w:pStyle w:val="Default"/>
        <w:rPr/>
      </w:pPr>
      <w:r>
        <w:rPr>
          <w:sz w:val="23"/>
          <w:szCs w:val="23"/>
        </w:rPr>
        <w:t xml:space="preserve">12 – 15bodů - dostatečný </w:t>
      </w:r>
    </w:p>
    <w:p>
      <w:pPr>
        <w:pStyle w:val="Default"/>
        <w:rPr/>
      </w:pPr>
      <w:r>
        <w:rPr>
          <w:sz w:val="23"/>
          <w:szCs w:val="23"/>
        </w:rPr>
        <w:t>0   - 11bodů – nedostatečný</w:t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Hranice úspěšnosti: </w:t>
      </w:r>
      <w:r>
        <w:rPr>
          <w:sz w:val="24"/>
          <w:szCs w:val="24"/>
        </w:rPr>
        <w:t>žák musí získat 12 a více bodů, aby u písemné práce prospěl.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Hodnocení písemné práce tvoří </w:t>
      </w:r>
      <w:r>
        <w:rPr>
          <w:b/>
          <w:bCs/>
          <w:sz w:val="24"/>
          <w:szCs w:val="24"/>
        </w:rPr>
        <w:t>40% celkové známky</w:t>
      </w:r>
      <w:r>
        <w:rPr>
          <w:sz w:val="24"/>
          <w:szCs w:val="24"/>
        </w:rPr>
        <w:t xml:space="preserve"> z profilové maturitní zkoušky.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  <w:t xml:space="preserve">Poznámka k rozsahu písemné práce </w:t>
        <w:softHyphen/>
        <w:t xml:space="preserve">– počítání slov: </w:t>
      </w:r>
    </w:p>
    <w:p>
      <w:pPr>
        <w:pStyle w:val="Default"/>
        <w:rPr/>
      </w:pPr>
      <w:r>
        <w:rPr>
          <w:b/>
          <w:bCs/>
        </w:rPr>
        <w:t>Jako jedno slovo počítáme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složené tvary sloves (pracoval jsem = 1 slovo, budu pracovat = 1 slovo, byli bychom pracovali = 1 slovo)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předložky jednoslovné (s = 1 slovo, za účelem = 2 slova)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spojky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zájmena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složené tvary číslovek (sedm set dvacet pět = 1 slovo)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citoslovce (ach ouvej = 2 slova)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zkratky a zkratková slova (ZUŠ = 1 slovo, Čedok = 1 slovo)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víceslovná vlastní jména a vlastní názvy (Petra Nováková = 1 slovo, Kralupy nad Vltavou = 1 slovo)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rozepsané datum (28. října 2021 = 1 slovo; V Kralupech nad Vltavou 28. října 2021 = 3 slova)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>
          <w:sz w:val="24"/>
          <w:szCs w:val="24"/>
        </w:rPr>
        <w:t>adresy (</w:t>
      </w:r>
      <w:hyperlink r:id="rId2">
        <w:r>
          <w:rPr>
            <w:rStyle w:val="Internetovodkaz"/>
            <w:sz w:val="24"/>
            <w:szCs w:val="24"/>
          </w:rPr>
          <w:t>jarmila@seznam.cz</w:t>
        </w:r>
      </w:hyperlink>
      <w:r>
        <w:rPr>
          <w:sz w:val="24"/>
          <w:szCs w:val="24"/>
        </w:rPr>
        <w:t xml:space="preserve"> = 1 slovo; ulice U Cukrovaru = 1 slovo, 278 01 Kralupy nad Vltavou = 1 slovo)</w:t>
      </w:r>
    </w:p>
    <w:p>
      <w:pPr>
        <w:pStyle w:val="ListParagraph"/>
        <w:numPr>
          <w:ilvl w:val="0"/>
          <w:numId w:val="1"/>
        </w:numPr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složená přídavná jména (česko-italský = 1 slovo)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</w:rPr>
      </w:pPr>
      <w:r>
        <w:rPr>
          <w:b/>
          <w:bCs/>
        </w:rPr>
        <w:t>Poznámka k zadání písemné práce – výchozí text</w:t>
      </w:r>
    </w:p>
    <w:p>
      <w:pPr>
        <w:pStyle w:val="Default"/>
        <w:rPr/>
      </w:pPr>
      <w:r>
        <w:rPr/>
        <w:t>Součástí zadání písemné práce může být také výchozí text.</w:t>
      </w:r>
      <w:r>
        <w:rPr>
          <w:b/>
          <w:bCs/>
        </w:rPr>
        <w:t xml:space="preserve"> </w:t>
      </w:r>
      <w:r>
        <w:rPr/>
        <w:t xml:space="preserve">Pak je v zadání uvedeno, zda a jakým způsobem má být výchozí text ve vlastní práci použit. Některé typy výchozích textů slouží jako inspirační zdroj, jiné přinášejí základní informace pro zpracování písemné práce nebo pokyny k napsání práce. </w:t>
      </w:r>
    </w:p>
    <w:p>
      <w:pPr>
        <w:pStyle w:val="Default"/>
        <w:rPr/>
      </w:pPr>
      <w:r>
        <w:rPr>
          <w:b/>
          <w:bCs/>
        </w:rPr>
        <w:t>Některé funkce výchozího textu:</w:t>
      </w:r>
    </w:p>
    <w:p>
      <w:pPr>
        <w:pStyle w:val="Normal"/>
        <w:spacing w:lineRule="auto" w:line="240" w:before="0" w:after="0"/>
        <w:rPr>
          <w:b/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Inspirativní funkce. </w:t>
      </w:r>
      <w:r>
        <w:rPr>
          <w:sz w:val="24"/>
          <w:szCs w:val="24"/>
        </w:rPr>
        <w:t xml:space="preserve">Výchozí text slouží jako inspirace, navozuje atmosféru k psaní (tak tomu bývá především u útvarů uměleckého stylu, např. v případě líčení nebo vypravování). </w:t>
      </w:r>
    </w:p>
    <w:p>
      <w:pPr>
        <w:pStyle w:val="Defaul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Specifikovaná funkce – pokyny k napsání práce. </w:t>
      </w:r>
      <w:r>
        <w:rPr/>
        <w:t xml:space="preserve">V zadání může být také přímo uvedeno, jak s výchozím textem zacházet - např. u vypravování může výchozí text tvořit začátek nebo konec vypravování (ve zpracování je pak přesně uvedeno: vypravování, které je zakončeno výchozím textem nebo vypravování, které má na výchozí text navazovat). </w:t>
      </w:r>
    </w:p>
    <w:p>
      <w:pPr>
        <w:pStyle w:val="Defaul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 xml:space="preserve">Informativní funkce. </w:t>
      </w:r>
      <w:r>
        <w:rPr/>
        <w:t>Ve výchozím textu jsou obsaženy informace, které je třeba využít při tvorbě textu: např. uvedení informace k napsání motivačního dopisu / žádosti nebo uvedení základních informací pro vysvětlení nějakého problému, z nichž má žák při tvorbě vyjít.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</w:rPr>
        <w:t>Výchozí text je možné opsat, avšak pozor, toto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opsání se nezapočítává do celkového rozsahu písemné práce.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Žák úspěšně vykoná zkoušku z Českého jazyka a literatury, pokud uspěje jak v písemné práci, tak u ústní zkoušky z ČJ.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Příloha: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Bodová škála k hodnocení písemné práce z českého jazyka</w:t>
      </w:r>
    </w:p>
    <w:p>
      <w:pPr>
        <w:pStyle w:val="Default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Mkatabulky"/>
        <w:tblW w:w="13994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0"/>
        <w:gridCol w:w="1725"/>
        <w:gridCol w:w="1615"/>
        <w:gridCol w:w="2535"/>
        <w:gridCol w:w="2600"/>
        <w:gridCol w:w="2359"/>
        <w:gridCol w:w="1809"/>
      </w:tblGrid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Počet bodů</w:t>
            </w:r>
          </w:p>
        </w:tc>
        <w:tc>
          <w:tcPr>
            <w:tcW w:w="1725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615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35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0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59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09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1A – stylistika: 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téma a obsah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se nevztahuje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zadanému tématu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se od zadaného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tématu podstatně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odklání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téma zpracováno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povrchně</w:t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se od zadaného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tématu v některých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pasážích odklání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některé pasáže jsou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povrchní</w:t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v zásadě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tématu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téma v zásadě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zpracováno funkčně</w:t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tématu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téma zpracováno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funkčně</w:t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plně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tématu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téma zpracování plně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funkčně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1B – stylistika: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slohový útvar 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komunikační situace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prokazatelně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nevykazuje znaky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zadaného útvaru 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reaguje na jiné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vymezení komunikační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situace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značné nedostatky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vzhledem k zadanému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funkčnímu stylu,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slohovému útvaru i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komunikační situaci</w:t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nedostatky vzhledem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zadanému funkčnímu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stylu, slohovému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útvaru i komunikační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</w:t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v zásadě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funkčnímu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stylu, slohovému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útvaru i komunikační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</w:t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funkčnímu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stylu, slohovému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útvaru i komunikační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</w:t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plně odpovídá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zadanému funkčnímu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stylu, slohovému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útvaru i komunikační</w:t>
            </w:r>
          </w:p>
          <w:p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situaci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2A – pravopis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 tvarosloví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vysoká míra chyb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 tvarosloví: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10 a více*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vyšší míra chyb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tvarosloví: </w:t>
            </w: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8–9*</w:t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časté chyby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tvarosloví: </w:t>
            </w: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6–7*</w:t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místy chyby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tvarosloví: </w:t>
            </w: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4–5*</w:t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ojedinělé chyby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tvarosloví: </w:t>
            </w: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2–3*</w:t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bez chyb či</w:t>
            </w:r>
            <w:r>
              <w:rPr>
                <w:rFonts w:cs="Symbol" w:ascii="Symbol" w:hAnsi="Symbol"/>
                <w:sz w:val="18"/>
                <w:szCs w:val="18"/>
              </w:rPr>
              <w:t></w:t>
            </w:r>
            <w:r>
              <w:rPr>
                <w:rFonts w:cs="Calibri"/>
                <w:sz w:val="18"/>
                <w:szCs w:val="18"/>
              </w:rPr>
              <w:t>téměř bez chyb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pravopisu či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tvarosloví: </w:t>
            </w:r>
            <w:r>
              <w:rPr>
                <w:rFonts w:cs="Calibri,Bold" w:ascii="Calibri,Bold" w:hAnsi="Calibri,Bold"/>
                <w:b/>
                <w:bCs/>
                <w:sz w:val="18"/>
                <w:szCs w:val="18"/>
              </w:rPr>
              <w:t>max. 1*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2B – slovní zásoba: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bohatství a funkčnost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lexikálních prostředků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primitivní slovní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zásoba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vysoká míra slov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nevhodných vzhledem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označované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skutečnosti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volba slov zásadně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narušuje porozumění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textu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chudá slovní zásoba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slova ve vysoké míře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nevhodná vzhledem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označované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skutečnosti, což silně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narušuje porozumění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textu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velmi časté nevhodné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opakování slov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chudá slovní zásoba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slova často nevhodná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vzhledem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označované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skutečnosti, což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narušuje porozumění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textu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časté nevhodné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opakování slov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častá chybná slovní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spojení (vazby)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běžná slovní zásoba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slova místy nevhodná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vzhledem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označované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skutečnosti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místy nevhodné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opakování slov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místy chybná slovní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spojení (vazby)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bohatá slovní zásoba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slova ojediněle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nevhodná vzhledem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 označované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skutečnosti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ojediněle nevhodné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opakování slov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ojediněle chybné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slovní spojení (vazby)</w:t>
            </w:r>
          </w:p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bohatá, rozmanitá slovní zásoba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slova vždy volena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vhodně a funkčně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3A – syntax:</w:t>
            </w:r>
          </w:p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stavba větných celků 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 primitivní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větná stavba prakticky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vylučuje porozumění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 velmi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často nefunkčně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jednoduchá, či naopak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přetížená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dlouhé věty velmi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často braní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porozumění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velká míra chyb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slovosledu či pravidelné větné stavby</w:t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 často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jednoduchá, či naopak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přetížená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dlouhé věty často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brání porozumění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sz w:val="18"/>
                <w:szCs w:val="18"/>
              </w:rPr>
              <w:t>časté chyby slovosledu či pravidelné větné stavby</w:t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 v zásadě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promyšlená a v zásadě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funkční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dlouhé věty místy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brání porozumění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sz w:val="18"/>
                <w:szCs w:val="18"/>
              </w:rPr>
              <w:t>místy chyby slovosledu či pravidelné větné stavby</w:t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promyšlená a funkční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ojediněle chyby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slovosledu či pravidelné větné stavby</w:t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výstavba vět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promyšlená a funkční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zcela bez syntaktických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chyb</w:t>
            </w:r>
          </w:p>
        </w:tc>
      </w:tr>
      <w:tr>
        <w:trPr/>
        <w:tc>
          <w:tcPr>
            <w:tcW w:w="1350" w:type="dxa"/>
            <w:tcBorders/>
            <w:shd w:color="auto" w:fill="00B0F0" w:val="clear"/>
            <w:tcMar>
              <w:left w:w="83" w:type="dxa"/>
            </w:tcMar>
          </w:tcPr>
          <w:p>
            <w:pPr>
              <w:pStyle w:val="Default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3B – nadvětná syntax:</w:t>
            </w:r>
          </w:p>
        </w:tc>
        <w:tc>
          <w:tcPr>
            <w:tcW w:w="172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nesoudržný a chaotický, adresát se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 něm vůbec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neorientuje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nezvládnutá či zcela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nelogická argumentace</w:t>
            </w:r>
          </w:p>
        </w:tc>
        <w:tc>
          <w:tcPr>
            <w:tcW w:w="161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nelogické či zcela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chybějící členění textu,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adresát vynakládá úsilí,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aby se v něm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zorientoval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ve velké míře nelogická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argumentace</w:t>
            </w:r>
          </w:p>
        </w:tc>
        <w:tc>
          <w:tcPr>
            <w:tcW w:w="2535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nevhodné či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nedostatečné členění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textu, kompozice spíše nahodilá, organizace textu narušuje čtenářský komfort adresáta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často nelogická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argumentace</w:t>
            </w:r>
          </w:p>
        </w:tc>
        <w:tc>
          <w:tcPr>
            <w:tcW w:w="2600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místy nedostatečné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členění textu, i když v zásadě vyvážené, v zásadě neovlivňuje čtenářský komfort adresáta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</w:t>
            </w:r>
            <w:r>
              <w:rPr>
                <w:rFonts w:cs="Calibri"/>
                <w:sz w:val="18"/>
                <w:szCs w:val="18"/>
              </w:rPr>
              <w:t xml:space="preserve">argumentace v zásadě srozumitelná, </w:t>
            </w:r>
          </w:p>
        </w:tc>
        <w:tc>
          <w:tcPr>
            <w:tcW w:w="235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vyvážená a logická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kompozice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text sice vhodně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členěn a logicky uspořádán,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argumentace je srozumitelná, není narušen čtenářský komfort adresáta</w:t>
            </w:r>
          </w:p>
        </w:tc>
        <w:tc>
          <w:tcPr>
            <w:tcW w:w="1809" w:type="dxa"/>
            <w:tcBorders/>
            <w:shd w:color="auto" w:fill="auto" w:val="clear"/>
            <w:tcMar>
              <w:left w:w="83" w:type="dxa"/>
            </w:tcMar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precizní kompozice</w:t>
            </w:r>
          </w:p>
          <w:p>
            <w:pPr>
              <w:pStyle w:val="Normal"/>
              <w:spacing w:before="0" w:after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rFonts w:cs="Calibri"/>
                <w:sz w:val="18"/>
                <w:szCs w:val="18"/>
              </w:rPr>
              <w:t>vhodné členění textu, logické uspořádání</w:t>
            </w:r>
          </w:p>
          <w:p>
            <w:pPr>
              <w:pStyle w:val="Default"/>
              <w:rPr>
                <w:sz w:val="16"/>
                <w:szCs w:val="16"/>
              </w:rPr>
            </w:pPr>
            <w:r>
              <w:rPr>
                <w:rFonts w:cs="Symbol" w:ascii="Symbol" w:hAnsi="Symbol"/>
                <w:sz w:val="18"/>
                <w:szCs w:val="18"/>
              </w:rPr>
              <w:t></w:t>
            </w:r>
            <w:r>
              <w:rPr>
                <w:sz w:val="18"/>
                <w:szCs w:val="18"/>
              </w:rPr>
              <w:t>argumentace je precizní a vyspělá</w:t>
            </w:r>
          </w:p>
        </w:tc>
      </w:tr>
    </w:tbl>
    <w:p>
      <w:pPr>
        <w:pStyle w:val="Defaul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*Kvantifikace pravopisných chyb zahrnuje tzv. „hrubé“ chyby; jedné „hrubé“ chybě odpovídají dvě „malé“ chyby. Čárka ve větě či souvětí se počítá jako malá chyba. Opakující se chyba ve stejném slově se započítává pouze jednou.</w:t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  <w:t>Schváleno ředitelem školy: RNDr. Andrej Plecháček</w:t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  <w:t xml:space="preserve">Kralupy nad Vltavou, 15. 3. 2023                                                 </w:t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240" w:before="0" w:after="16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p>
      <w:pPr>
        <w:pStyle w:val="Normal"/>
        <w:widowControl/>
        <w:bidi w:val="0"/>
        <w:spacing w:lineRule="auto" w:line="312" w:before="0" w:after="160"/>
        <w:jc w:val="left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Symbol">
    <w:charset w:val="ee"/>
    <w:family w:val="roman"/>
    <w:pitch w:val="variable"/>
  </w:font>
  <w:font w:name="Calibri">
    <w:altName w:val="Bold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1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018"/>
    <w:pPr>
      <w:widowControl/>
      <w:bidi w:val="0"/>
      <w:spacing w:lineRule="auto" w:line="312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1"/>
      <w:szCs w:val="21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cb6018"/>
    <w:pPr>
      <w:keepNext/>
      <w:keepLines/>
      <w:pBdr>
        <w:left w:val="single" w:sz="12" w:space="12" w:color="ED7D31"/>
      </w:pBdr>
      <w:spacing w:lineRule="auto" w:line="240" w:before="80" w:after="80"/>
      <w:outlineLvl w:val="0"/>
    </w:pPr>
    <w:rPr>
      <w:rFonts w:ascii="Calibri Light" w:hAnsi="Calibri Light" w:eastAsia="" w:cs="" w:asciiTheme="majorHAnsi" w:cstheme="majorBidi" w:eastAsiaTheme="majorEastAsia" w:hAnsiTheme="majorHAnsi"/>
      <w:caps/>
      <w:spacing w:val="10"/>
      <w:sz w:val="36"/>
      <w:szCs w:val="36"/>
    </w:rPr>
  </w:style>
  <w:style w:type="paragraph" w:styleId="Nadpis2">
    <w:name w:val="Heading 2"/>
    <w:basedOn w:val="Normal"/>
    <w:link w:val="Nadpis2Char"/>
    <w:uiPriority w:val="9"/>
    <w:semiHidden/>
    <w:unhideWhenUsed/>
    <w:qFormat/>
    <w:rsid w:val="00cb6018"/>
    <w:pPr>
      <w:keepNext/>
      <w:keepLines/>
      <w:spacing w:lineRule="auto" w:line="240" w:before="120" w:after="0"/>
      <w:outlineLvl w:val="1"/>
    </w:pPr>
    <w:rPr>
      <w:rFonts w:ascii="Calibri Light" w:hAnsi="Calibri Light" w:eastAsia="" w:cs="" w:asciiTheme="majorHAnsi" w:cstheme="majorBidi" w:eastAsiaTheme="majorEastAsia" w:hAnsiTheme="majorHAnsi"/>
      <w:sz w:val="36"/>
      <w:szCs w:val="36"/>
    </w:rPr>
  </w:style>
  <w:style w:type="paragraph" w:styleId="Nadpis3">
    <w:name w:val="Heading 3"/>
    <w:basedOn w:val="Normal"/>
    <w:link w:val="Nadpis3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2"/>
    </w:pPr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paragraph" w:styleId="Nadpis4">
    <w:name w:val="Heading 4"/>
    <w:basedOn w:val="Normal"/>
    <w:link w:val="Nadpis4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sz w:val="28"/>
      <w:szCs w:val="28"/>
    </w:rPr>
  </w:style>
  <w:style w:type="paragraph" w:styleId="Nadpis5">
    <w:name w:val="Heading 5"/>
    <w:basedOn w:val="Normal"/>
    <w:link w:val="Nadpis5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4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Nadpis6">
    <w:name w:val="Heading 6"/>
    <w:basedOn w:val="Normal"/>
    <w:link w:val="Nadpis6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sz w:val="24"/>
      <w:szCs w:val="24"/>
    </w:rPr>
  </w:style>
  <w:style w:type="paragraph" w:styleId="Nadpis7">
    <w:name w:val="Heading 7"/>
    <w:basedOn w:val="Normal"/>
    <w:link w:val="Nadpis7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6"/>
    </w:pPr>
    <w:rPr>
      <w:rFonts w:ascii="Calibri Light" w:hAnsi="Calibri Light" w:eastAsia="" w:cs="" w:asciiTheme="majorHAnsi" w:cstheme="majorBidi" w:eastAsiaTheme="majorEastAsia" w:hAnsiTheme="majorHAnsi"/>
      <w:color w:val="595959" w:themeColor="text1" w:themeTint="a6"/>
      <w:sz w:val="24"/>
      <w:szCs w:val="24"/>
    </w:rPr>
  </w:style>
  <w:style w:type="paragraph" w:styleId="Nadpis8">
    <w:name w:val="Heading 8"/>
    <w:basedOn w:val="Normal"/>
    <w:link w:val="Nadpis8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7"/>
    </w:pPr>
    <w:rPr>
      <w:rFonts w:ascii="Calibri Light" w:hAnsi="Calibri Light" w:eastAsia="" w:cs="" w:asciiTheme="majorHAnsi" w:cstheme="majorBidi" w:eastAsiaTheme="majorEastAsia" w:hAnsiTheme="majorHAnsi"/>
      <w:caps/>
    </w:rPr>
  </w:style>
  <w:style w:type="paragraph" w:styleId="Nadpis9">
    <w:name w:val="Heading 9"/>
    <w:basedOn w:val="Normal"/>
    <w:link w:val="Nadpis9Char"/>
    <w:uiPriority w:val="9"/>
    <w:semiHidden/>
    <w:unhideWhenUsed/>
    <w:qFormat/>
    <w:rsid w:val="00cb6018"/>
    <w:pPr>
      <w:keepNext/>
      <w:keepLines/>
      <w:spacing w:lineRule="auto" w:line="240" w:before="8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cb6018"/>
    <w:rPr>
      <w:rFonts w:ascii="Calibri Light" w:hAnsi="Calibri Light" w:eastAsia="" w:cs="" w:asciiTheme="majorHAnsi" w:cstheme="majorBidi" w:eastAsiaTheme="majorEastAsia" w:hAnsiTheme="majorHAnsi"/>
      <w:caps/>
      <w:spacing w:val="10"/>
      <w:sz w:val="36"/>
      <w:szCs w:val="36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sz w:val="36"/>
      <w:szCs w:val="36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caps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i/>
      <w:iCs/>
      <w:sz w:val="28"/>
      <w:szCs w:val="28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i/>
      <w:iCs/>
      <w:sz w:val="24"/>
      <w:szCs w:val="24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color w:val="595959" w:themeColor="text1" w:themeTint="a6"/>
      <w:sz w:val="24"/>
      <w:szCs w:val="24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caps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cb6018"/>
    <w:rPr>
      <w:rFonts w:ascii="Calibri Light" w:hAnsi="Calibri Light" w:eastAsia="" w:cs="" w:asciiTheme="majorHAnsi" w:cstheme="majorBidi" w:eastAsiaTheme="majorEastAsia" w:hAnsiTheme="majorHAnsi"/>
      <w:i/>
      <w:iCs/>
      <w:caps/>
    </w:rPr>
  </w:style>
  <w:style w:type="character" w:styleId="NzevChar" w:customStyle="1">
    <w:name w:val="Název Char"/>
    <w:basedOn w:val="DefaultParagraphFont"/>
    <w:link w:val="Nzev"/>
    <w:uiPriority w:val="10"/>
    <w:qFormat/>
    <w:rsid w:val="00cb6018"/>
    <w:rPr>
      <w:rFonts w:ascii="Calibri Light" w:hAnsi="Calibri Light" w:eastAsia="" w:cs="" w:asciiTheme="majorHAnsi" w:cstheme="majorBidi" w:eastAsiaTheme="majorEastAsia" w:hAnsiTheme="majorHAnsi"/>
      <w:caps/>
      <w:spacing w:val="40"/>
      <w:sz w:val="76"/>
      <w:szCs w:val="76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cb6018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cb6018"/>
    <w:rPr>
      <w:rFonts w:ascii="Calibri" w:hAnsi="Calibri" w:eastAsia="" w:cs="" w:asciiTheme="minorHAnsi" w:cstheme="minorBidi" w:eastAsiaTheme="minorEastAsia" w:hAnsiTheme="minorHAnsi"/>
      <w:b/>
      <w:bCs/>
      <w:spacing w:val="0"/>
      <w:w w:val="100"/>
      <w:sz w:val="20"/>
      <w:szCs w:val="20"/>
    </w:rPr>
  </w:style>
  <w:style w:type="character" w:styleId="Zdraznn">
    <w:name w:val="Zdůraznění"/>
    <w:basedOn w:val="DefaultParagraphFont"/>
    <w:uiPriority w:val="20"/>
    <w:qFormat/>
    <w:rsid w:val="00cb6018"/>
    <w:rPr>
      <w:rFonts w:ascii="Calibri" w:hAnsi="Calibri" w:eastAsia="" w:cs="" w:asciiTheme="minorHAnsi" w:cstheme="minorBidi" w:eastAsiaTheme="minorEastAsia" w:hAnsiTheme="minorHAnsi"/>
      <w:i/>
      <w:iCs/>
      <w:color w:val="C45911" w:themeColor="accent2" w:themeShade="bf"/>
      <w:sz w:val="20"/>
      <w:szCs w:val="20"/>
    </w:rPr>
  </w:style>
  <w:style w:type="character" w:styleId="CittChar" w:customStyle="1">
    <w:name w:val="Citát Char"/>
    <w:basedOn w:val="DefaultParagraphFont"/>
    <w:link w:val="Citt"/>
    <w:uiPriority w:val="29"/>
    <w:qFormat/>
    <w:rsid w:val="00cb6018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cb6018"/>
    <w:rPr>
      <w:rFonts w:ascii="Calibri Light" w:hAnsi="Calibri Light" w:eastAsia="" w:cs="" w:asciiTheme="majorHAnsi" w:cstheme="majorBidi" w:eastAsiaTheme="majorEastAsia" w:hAnsiTheme="majorHAns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b6018"/>
    <w:rPr>
      <w:i/>
      <w:iCs/>
      <w:color w:val="00000A"/>
    </w:rPr>
  </w:style>
  <w:style w:type="character" w:styleId="IntenseEmphasis">
    <w:name w:val="Intense Emphasis"/>
    <w:basedOn w:val="DefaultParagraphFont"/>
    <w:uiPriority w:val="21"/>
    <w:qFormat/>
    <w:rsid w:val="00cb6018"/>
    <w:rPr>
      <w:rFonts w:ascii="Calibri" w:hAnsi="Calibri" w:eastAsia="" w:cs="" w:asciiTheme="minorHAnsi" w:cstheme="minorBidi" w:eastAsiaTheme="minorEastAsia" w:hAnsiTheme="minorHAnsi"/>
      <w:b/>
      <w:bCs/>
      <w:i/>
      <w:iCs/>
      <w:color w:val="C45911" w:themeColor="accent2" w:themeShade="bf"/>
      <w:spacing w:val="0"/>
      <w:w w:val="10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b6018"/>
    <w:rPr>
      <w:rFonts w:ascii="Calibri" w:hAnsi="Calibri" w:eastAsia="" w:cs="" w:asciiTheme="minorHAnsi" w:cstheme="minorBidi" w:eastAsiaTheme="minorEastAsia" w:hAnsiTheme="minorHAnsi"/>
      <w:smallCaps/>
      <w:color w:val="00000A"/>
      <w:spacing w:val="10"/>
      <w:w w:val="100"/>
      <w:sz w:val="20"/>
      <w:szCs w:val="20"/>
      <w:u w:val="single" w:color="7F7F7F"/>
    </w:rPr>
  </w:style>
  <w:style w:type="character" w:styleId="IntenseReference">
    <w:name w:val="Intense Reference"/>
    <w:basedOn w:val="DefaultParagraphFont"/>
    <w:uiPriority w:val="32"/>
    <w:qFormat/>
    <w:rsid w:val="00cb6018"/>
    <w:rPr>
      <w:rFonts w:ascii="Calibri" w:hAnsi="Calibri" w:eastAsia="" w:cs="" w:asciiTheme="minorHAnsi" w:cstheme="minorBidi" w:eastAsiaTheme="minorEastAsia" w:hAnsiTheme="minorHAnsi"/>
      <w:b/>
      <w:bCs/>
      <w:smallCaps/>
      <w:color w:val="191919" w:themeColor="text1" w:themeTint="e6"/>
      <w:spacing w:val="10"/>
      <w:w w:val="10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cb6018"/>
    <w:rPr>
      <w:rFonts w:ascii="Calibri" w:hAnsi="Calibri" w:eastAsia="" w:cs="" w:asciiTheme="minorHAnsi" w:cstheme="minorBidi" w:eastAsiaTheme="minorEastAsia" w:hAnsiTheme="minorHAnsi"/>
      <w:b/>
      <w:bCs/>
      <w:i/>
      <w:iCs/>
      <w:caps w:val="false"/>
      <w:smallCaps w:val="false"/>
      <w:color w:val="00000A"/>
      <w:spacing w:val="10"/>
      <w:w w:val="100"/>
      <w:sz w:val="20"/>
      <w:szCs w:val="20"/>
    </w:rPr>
  </w:style>
  <w:style w:type="character" w:styleId="Internetovodkaz" w:customStyle="1">
    <w:name w:val="Internetový odkaz"/>
    <w:basedOn w:val="DefaultParagraphFont"/>
    <w:uiPriority w:val="99"/>
    <w:unhideWhenUsed/>
    <w:rsid w:val="00a25432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25432"/>
    <w:rPr>
      <w:color w:val="605E5C"/>
      <w:shd w:fill="E1DFDD" w:val="clear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>
    <w:name w:val="ListLabel 25"/>
    <w:qFormat/>
    <w:rPr>
      <w:rFonts w:cs="Symbol"/>
      <w:sz w:val="24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  <w:sz w:val="24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Symbol"/>
      <w:sz w:val="24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Wingdings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Wingdings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Wingdings"/>
    </w:rPr>
  </w:style>
  <w:style w:type="character" w:styleId="ListLabel52">
    <w:name w:val="ListLabel 52"/>
    <w:qFormat/>
    <w:rPr>
      <w:rFonts w:cs="Symbol"/>
      <w:sz w:val="24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Wingdings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Wingdings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Wingdings"/>
    </w:rPr>
  </w:style>
  <w:style w:type="character" w:styleId="ListLabel61">
    <w:name w:val="ListLabel 61"/>
    <w:qFormat/>
    <w:rPr>
      <w:rFonts w:cs="Symbol"/>
      <w:sz w:val="24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paragraph" w:styleId="Nadpis" w:customStyle="1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rsid w:val="00cb6018"/>
    <w:pPr>
      <w:spacing w:lineRule="auto" w:line="240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al"/>
    <w:link w:val="NzevChar"/>
    <w:uiPriority w:val="10"/>
    <w:qFormat/>
    <w:rsid w:val="00cb6018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spacing w:val="40"/>
      <w:sz w:val="76"/>
      <w:szCs w:val="76"/>
    </w:rPr>
  </w:style>
  <w:style w:type="paragraph" w:styleId="Podtitul">
    <w:name w:val="Subtitle"/>
    <w:basedOn w:val="Normal"/>
    <w:link w:val="PodtitulChar"/>
    <w:uiPriority w:val="11"/>
    <w:qFormat/>
    <w:rsid w:val="00cb6018"/>
    <w:pPr>
      <w:spacing w:before="0" w:after="240"/>
    </w:pPr>
    <w:rPr>
      <w:color w:val="000000" w:themeColor="text1"/>
      <w:sz w:val="24"/>
      <w:szCs w:val="24"/>
    </w:rPr>
  </w:style>
  <w:style w:type="paragraph" w:styleId="NoSpacing">
    <w:name w:val="No Spacing"/>
    <w:uiPriority w:val="1"/>
    <w:qFormat/>
    <w:rsid w:val="00cb6018"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1"/>
      <w:szCs w:val="21"/>
      <w:lang w:val="cs-CZ" w:eastAsia="en-US" w:bidi="ar-SA"/>
    </w:rPr>
  </w:style>
  <w:style w:type="paragraph" w:styleId="Quote">
    <w:name w:val="Quote"/>
    <w:basedOn w:val="Normal"/>
    <w:link w:val="CittChar"/>
    <w:uiPriority w:val="29"/>
    <w:qFormat/>
    <w:rsid w:val="00cb6018"/>
    <w:pPr>
      <w:spacing w:before="160" w:after="160"/>
      <w:ind w:left="720" w:hanging="0"/>
    </w:pPr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paragraph" w:styleId="IntenseQuote">
    <w:name w:val="Intense Quote"/>
    <w:basedOn w:val="Normal"/>
    <w:link w:val="VrazncittChar"/>
    <w:uiPriority w:val="30"/>
    <w:qFormat/>
    <w:rsid w:val="00cb6018"/>
    <w:pPr>
      <w:spacing w:beforeAutospacing="1" w:after="240"/>
      <w:ind w:left="936" w:right="936" w:hanging="0"/>
      <w:jc w:val="center"/>
    </w:pPr>
    <w:rPr>
      <w:rFonts w:ascii="Calibri Light" w:hAnsi="Calibri Light" w:eastAsia="" w:cs="" w:asciiTheme="majorHAnsi" w:cstheme="majorBidi" w:eastAsiaTheme="majorEastAsia" w:hAnsiTheme="majorHAnsi"/>
      <w:caps/>
      <w:color w:val="C45911" w:themeColor="accent2" w:themeShade="bf"/>
      <w:spacing w:val="10"/>
      <w:sz w:val="28"/>
      <w:szCs w:val="28"/>
    </w:rPr>
  </w:style>
  <w:style w:type="paragraph" w:styleId="TOCHeading">
    <w:name w:val="TOC Heading"/>
    <w:basedOn w:val="Nadpis1"/>
    <w:uiPriority w:val="39"/>
    <w:semiHidden/>
    <w:unhideWhenUsed/>
    <w:qFormat/>
    <w:rsid w:val="00cb6018"/>
    <w:pPr/>
    <w:rPr/>
  </w:style>
  <w:style w:type="paragraph" w:styleId="Default" w:customStyle="1">
    <w:name w:val="Default"/>
    <w:qFormat/>
    <w:rsid w:val="00cb6018"/>
    <w:pPr>
      <w:widowControl/>
      <w:bidi w:val="0"/>
      <w:jc w:val="left"/>
    </w:pPr>
    <w:rPr>
      <w:rFonts w:ascii="Calibri" w:hAnsi="Calibri" w:eastAsia="" w:cs="Calibri"/>
      <w:color w:val="000000"/>
      <w:sz w:val="24"/>
      <w:szCs w:val="24"/>
      <w:lang w:val="cs-CZ" w:eastAsia="en-US" w:bidi="ar-SA"/>
    </w:rPr>
  </w:style>
  <w:style w:type="paragraph" w:styleId="ListParagraph">
    <w:name w:val="List Paragraph"/>
    <w:basedOn w:val="Normal"/>
    <w:uiPriority w:val="34"/>
    <w:qFormat/>
    <w:rsid w:val="007f7ed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40b37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armila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LibreOffice/5.2.1.2$Windows_x86 LibreOffice_project/31dd62db80d4e60af04904455ec9c9219178d620</Application>
  <Pages>6</Pages>
  <Words>1415</Words>
  <Characters>7358</Characters>
  <CharactersWithSpaces>8621</CharactersWithSpaces>
  <Paragraphs>254</Paragraphs>
  <Company>Dvořákovo Gymnázium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2022-03-30T17:57:00Z</dcterms:created>
  <dc:creator>Ivo</dc:creator>
  <dc:description/>
  <dc:language>cs-CZ</dc:language>
  <cp:lastModifiedBy/>
  <cp:lastPrinted>2023-03-17T10:36:30Z</cp:lastPrinted>
  <dcterms:modified xsi:type="dcterms:W3CDTF">2023-03-17T10:36:37Z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Dvořákovo Gymnázium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